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72F28">
      <w:pPr>
        <w:autoSpaceDE w:val="0"/>
        <w:jc w:val="left"/>
      </w:pPr>
      <w:r>
        <w:rPr>
          <w:rFonts w:ascii="ＭＳ 明朝" w:hAnsi="ＭＳ 明朝" w:cs="MS-Mincho"/>
          <w:szCs w:val="21"/>
        </w:rPr>
        <w:t>別記様式（第１３条関係）</w:t>
      </w:r>
    </w:p>
    <w:p w:rsidR="00000000" w:rsidRDefault="00772F28">
      <w:pPr>
        <w:autoSpaceDE w:val="0"/>
        <w:jc w:val="left"/>
        <w:rPr>
          <w:rFonts w:ascii="ＭＳ 明朝" w:hAnsi="ＭＳ 明朝" w:cs="ＭＳ 明朝"/>
          <w:szCs w:val="21"/>
        </w:rPr>
      </w:pPr>
    </w:p>
    <w:p w:rsidR="00000000" w:rsidRDefault="00772F28">
      <w:pPr>
        <w:autoSpaceDE w:val="0"/>
        <w:jc w:val="center"/>
      </w:pPr>
      <w:r>
        <w:rPr>
          <w:rFonts w:ascii="ＭＳ 明朝" w:hAnsi="ＭＳ 明朝" w:cs="MS-Mincho"/>
          <w:szCs w:val="21"/>
        </w:rPr>
        <w:t>工事の施工に伴い第三者に及ぼした損害の補償に関する協定書</w:t>
      </w:r>
    </w:p>
    <w:p w:rsidR="00000000" w:rsidRDefault="00772F28">
      <w:pPr>
        <w:autoSpaceDE w:val="0"/>
        <w:jc w:val="left"/>
        <w:rPr>
          <w:rFonts w:ascii="ＭＳ 明朝" w:hAnsi="ＭＳ 明朝" w:cs="ＭＳ 明朝"/>
          <w:szCs w:val="21"/>
        </w:rPr>
      </w:pPr>
    </w:p>
    <w:p w:rsidR="00000000" w:rsidRDefault="00772F28">
      <w:pPr>
        <w:autoSpaceDE w:val="0"/>
        <w:ind w:firstLine="210"/>
        <w:jc w:val="left"/>
      </w:pPr>
      <w:r>
        <w:rPr>
          <w:rFonts w:ascii="ＭＳ 明朝" w:hAnsi="ＭＳ 明朝" w:cs="MS-Mincho"/>
          <w:szCs w:val="21"/>
        </w:rPr>
        <w:t>赤磐市（以下「発注者」という。）と請負者　　　　　　　　　　　　　　　　（以下「受注者」という。）とは、工事請負契約書第</w:t>
      </w:r>
      <w:r>
        <w:rPr>
          <w:rFonts w:ascii="ＭＳ 明朝" w:hAnsi="ＭＳ 明朝" w:cs="MS-Mincho" w:hint="eastAsia"/>
          <w:szCs w:val="21"/>
        </w:rPr>
        <w:t>３０</w:t>
      </w:r>
      <w:bookmarkStart w:id="0" w:name="_GoBack"/>
      <w:bookmarkEnd w:id="0"/>
      <w:r>
        <w:rPr>
          <w:rFonts w:ascii="ＭＳ 明朝" w:hAnsi="ＭＳ 明朝" w:cs="MS-Mincho"/>
          <w:szCs w:val="21"/>
        </w:rPr>
        <w:t>条に規定する第三者に及ぼした損害のうち、発注者と受注者との間で　　年　　月　　日付けで締結した　　　　　　　　　　　　に係る工事請負契約に基づく工事に起因する損害であることが明確であるものについて、その補償、発注者及び受注者の補償費用の負担割合等必要な事項に関し、次のとおり協定を締結する。</w:t>
      </w:r>
    </w:p>
    <w:p w:rsidR="00000000" w:rsidRDefault="00772F28">
      <w:pPr>
        <w:autoSpaceDE w:val="0"/>
        <w:ind w:firstLine="210"/>
        <w:jc w:val="left"/>
      </w:pPr>
      <w:r>
        <w:rPr>
          <w:rFonts w:ascii="ＭＳ 明朝" w:hAnsi="ＭＳ 明朝" w:cs="MS-Gothic"/>
          <w:szCs w:val="21"/>
        </w:rPr>
        <w:t>（補償の</w:t>
      </w:r>
      <w:r>
        <w:rPr>
          <w:rFonts w:ascii="ＭＳ 明朝" w:hAnsi="ＭＳ 明朝" w:cs="MS-Gothic"/>
          <w:szCs w:val="21"/>
        </w:rPr>
        <w:t>対象）</w:t>
      </w:r>
    </w:p>
    <w:p w:rsidR="00000000" w:rsidRDefault="00772F28">
      <w:pPr>
        <w:autoSpaceDE w:val="0"/>
        <w:ind w:left="210" w:hanging="210"/>
        <w:jc w:val="left"/>
      </w:pPr>
      <w:r>
        <w:rPr>
          <w:rFonts w:ascii="ＭＳ 明朝" w:hAnsi="ＭＳ 明朝" w:cs="MS-Gothic"/>
          <w:szCs w:val="21"/>
        </w:rPr>
        <w:t xml:space="preserve">第１条　</w:t>
      </w:r>
      <w:r>
        <w:rPr>
          <w:rFonts w:ascii="ＭＳ 明朝" w:hAnsi="ＭＳ 明朝" w:cs="MS-Mincho"/>
          <w:szCs w:val="21"/>
        </w:rPr>
        <w:t>この協定に基づく補償の対象は、くい打ち、土留め、排水、下水道、水道、土工事等の施工に伴い発生した地盤沈下、地下水の断絶、振動、濁水、工事用車両の通行等に起因して生じた沿道家屋等第三者の施設その他の物件等（以下「施設」という。）に対する損害とする。</w:t>
      </w:r>
    </w:p>
    <w:p w:rsidR="00000000" w:rsidRDefault="00772F28">
      <w:pPr>
        <w:autoSpaceDE w:val="0"/>
        <w:ind w:firstLine="210"/>
        <w:jc w:val="left"/>
      </w:pPr>
      <w:r>
        <w:rPr>
          <w:rFonts w:ascii="ＭＳ 明朝" w:hAnsi="ＭＳ 明朝" w:cs="MS-Gothic"/>
          <w:szCs w:val="21"/>
        </w:rPr>
        <w:t>（事前調査）</w:t>
      </w:r>
    </w:p>
    <w:p w:rsidR="00000000" w:rsidRDefault="00772F28">
      <w:pPr>
        <w:autoSpaceDE w:val="0"/>
        <w:ind w:left="210" w:hanging="210"/>
        <w:jc w:val="left"/>
      </w:pPr>
      <w:r>
        <w:rPr>
          <w:rFonts w:ascii="ＭＳ 明朝" w:hAnsi="ＭＳ 明朝" w:cs="MS-Gothic"/>
          <w:szCs w:val="21"/>
        </w:rPr>
        <w:t xml:space="preserve">第２条　</w:t>
      </w:r>
      <w:r>
        <w:rPr>
          <w:rFonts w:ascii="ＭＳ 明朝" w:hAnsi="ＭＳ 明朝" w:cs="MS-Mincho"/>
          <w:szCs w:val="21"/>
        </w:rPr>
        <w:t>発注者は、当該工事の施工に伴い施設に損害等を生じるおそれがあると認めたときは、当該施設の事前調査を行うものとする。</w:t>
      </w:r>
    </w:p>
    <w:p w:rsidR="00000000" w:rsidRDefault="00772F28">
      <w:pPr>
        <w:autoSpaceDE w:val="0"/>
        <w:ind w:firstLine="210"/>
        <w:jc w:val="left"/>
      </w:pPr>
      <w:r>
        <w:rPr>
          <w:rFonts w:ascii="ＭＳ 明朝" w:hAnsi="ＭＳ 明朝" w:cs="MS-Gothic"/>
          <w:szCs w:val="21"/>
        </w:rPr>
        <w:t>（損害発生時の調査及び応急措置等）</w:t>
      </w:r>
    </w:p>
    <w:p w:rsidR="00000000" w:rsidRDefault="00772F28">
      <w:pPr>
        <w:autoSpaceDE w:val="0"/>
        <w:ind w:left="210" w:hanging="210"/>
        <w:jc w:val="left"/>
      </w:pPr>
      <w:r>
        <w:rPr>
          <w:rFonts w:ascii="ＭＳ 明朝" w:hAnsi="ＭＳ 明朝" w:cs="MS-Gothic"/>
          <w:szCs w:val="21"/>
        </w:rPr>
        <w:t xml:space="preserve">第３条　</w:t>
      </w:r>
      <w:r>
        <w:rPr>
          <w:rFonts w:ascii="ＭＳ 明朝" w:hAnsi="ＭＳ 明朝" w:cs="MS-Mincho"/>
          <w:szCs w:val="21"/>
        </w:rPr>
        <w:t>受注者は、工事施工中に第三者から施設の損害発生の申出があった場合に</w:t>
      </w:r>
      <w:r>
        <w:rPr>
          <w:rFonts w:ascii="ＭＳ 明朝" w:hAnsi="ＭＳ 明朝" w:cs="MS-Mincho"/>
          <w:szCs w:val="21"/>
        </w:rPr>
        <w:t>おいて、当該損害が生活上支障となると認められるときは、直ちに必要な調査を行い、応急措置を講じなければならない。生活上緊急を要しないと認められる場合においても、調査を行い、その経過等を記録するものとする。</w:t>
      </w:r>
    </w:p>
    <w:p w:rsidR="00000000" w:rsidRDefault="00772F28">
      <w:pPr>
        <w:autoSpaceDE w:val="0"/>
        <w:ind w:left="210" w:hanging="210"/>
        <w:jc w:val="left"/>
      </w:pPr>
      <w:r>
        <w:rPr>
          <w:rFonts w:ascii="ＭＳ 明朝" w:hAnsi="ＭＳ 明朝" w:cs="MS-Mincho"/>
          <w:szCs w:val="21"/>
        </w:rPr>
        <w:t>２　受注者は、前項の調査及び応急措置が完了したときは、被害調査報告書を発注者に提出するものとする。</w:t>
      </w:r>
    </w:p>
    <w:p w:rsidR="00000000" w:rsidRDefault="00772F28">
      <w:pPr>
        <w:autoSpaceDE w:val="0"/>
        <w:ind w:firstLine="210"/>
        <w:jc w:val="left"/>
      </w:pPr>
      <w:r>
        <w:rPr>
          <w:rFonts w:ascii="ＭＳ 明朝" w:hAnsi="ＭＳ 明朝" w:cs="MS-Gothic"/>
          <w:szCs w:val="21"/>
        </w:rPr>
        <w:t>（事後調査）</w:t>
      </w:r>
    </w:p>
    <w:p w:rsidR="00000000" w:rsidRDefault="00772F28">
      <w:pPr>
        <w:autoSpaceDE w:val="0"/>
        <w:ind w:left="210" w:hanging="210"/>
        <w:jc w:val="left"/>
      </w:pPr>
      <w:r>
        <w:rPr>
          <w:rFonts w:ascii="ＭＳ 明朝" w:hAnsi="ＭＳ 明朝" w:cs="MS-Gothic"/>
          <w:szCs w:val="21"/>
        </w:rPr>
        <w:t xml:space="preserve">第４条　</w:t>
      </w:r>
      <w:r>
        <w:rPr>
          <w:rFonts w:ascii="ＭＳ 明朝" w:hAnsi="ＭＳ 明朝" w:cs="MS-Mincho"/>
          <w:szCs w:val="21"/>
        </w:rPr>
        <w:t>発注者は、施設の所有者等から当該施設の損害に対する補償要求があったときは、原則として工事完了検査後、事後調査を行うものとする。</w:t>
      </w:r>
    </w:p>
    <w:p w:rsidR="00000000" w:rsidRDefault="00772F28">
      <w:pPr>
        <w:autoSpaceDE w:val="0"/>
        <w:ind w:firstLine="210"/>
        <w:jc w:val="left"/>
      </w:pPr>
      <w:r>
        <w:rPr>
          <w:rFonts w:ascii="ＭＳ 明朝" w:hAnsi="ＭＳ 明朝" w:cs="MS-Gothic"/>
          <w:szCs w:val="21"/>
        </w:rPr>
        <w:t>（補償費用）</w:t>
      </w:r>
    </w:p>
    <w:p w:rsidR="00000000" w:rsidRDefault="00772F28">
      <w:pPr>
        <w:autoSpaceDE w:val="0"/>
        <w:ind w:left="210" w:hanging="210"/>
        <w:jc w:val="left"/>
      </w:pPr>
      <w:r>
        <w:rPr>
          <w:rFonts w:ascii="ＭＳ 明朝" w:hAnsi="ＭＳ 明朝" w:cs="MS-Gothic"/>
          <w:szCs w:val="21"/>
        </w:rPr>
        <w:t xml:space="preserve">第５条　</w:t>
      </w:r>
      <w:r>
        <w:rPr>
          <w:rFonts w:ascii="ＭＳ 明朝" w:hAnsi="ＭＳ 明朝" w:cs="MS-Mincho"/>
          <w:szCs w:val="21"/>
        </w:rPr>
        <w:t>補償費用は、原則として損害が生じた施</w:t>
      </w:r>
      <w:r>
        <w:rPr>
          <w:rFonts w:ascii="ＭＳ 明朝" w:hAnsi="ＭＳ 明朝" w:cs="MS-Mincho"/>
          <w:szCs w:val="21"/>
        </w:rPr>
        <w:t>設を従前の状態と同程度に修復し、又は復元すること（以下「原状回復」という。）に要する費用とする。この場合において、原状回復は、施設の使用目的及び使用状況、損害の発生箇所及び発生状況、施設の経過年数等を総合的に判断して、技術的及び経済的に合理的かつ妥当な範囲で行うものとする。</w:t>
      </w:r>
    </w:p>
    <w:p w:rsidR="00000000" w:rsidRDefault="00772F28">
      <w:pPr>
        <w:autoSpaceDE w:val="0"/>
        <w:ind w:firstLine="210"/>
        <w:jc w:val="left"/>
      </w:pPr>
      <w:r>
        <w:rPr>
          <w:rFonts w:ascii="ＭＳ 明朝" w:hAnsi="ＭＳ 明朝" w:cs="MS-Gothic"/>
          <w:szCs w:val="21"/>
        </w:rPr>
        <w:t>（補償の時期）</w:t>
      </w:r>
    </w:p>
    <w:p w:rsidR="00000000" w:rsidRDefault="00772F28">
      <w:pPr>
        <w:autoSpaceDE w:val="0"/>
        <w:ind w:left="210" w:hanging="210"/>
        <w:jc w:val="left"/>
      </w:pPr>
      <w:r>
        <w:rPr>
          <w:rFonts w:ascii="ＭＳ 明朝" w:hAnsi="ＭＳ 明朝" w:cs="MS-Gothic"/>
          <w:szCs w:val="21"/>
        </w:rPr>
        <w:t xml:space="preserve">第６条　</w:t>
      </w:r>
      <w:r>
        <w:rPr>
          <w:rFonts w:ascii="ＭＳ 明朝" w:hAnsi="ＭＳ 明朝" w:cs="MS-Mincho"/>
          <w:szCs w:val="21"/>
        </w:rPr>
        <w:t>損害の補償は、事後調査完了後に行うものとする。ただし、工作物の倒壊等による人身事故のおそれがあるとき等、応急措置では対応できない損害に対して補償する場合はこの限りでない。</w:t>
      </w:r>
    </w:p>
    <w:p w:rsidR="00000000" w:rsidRDefault="00772F28">
      <w:pPr>
        <w:autoSpaceDE w:val="0"/>
        <w:ind w:firstLine="210"/>
        <w:jc w:val="left"/>
      </w:pPr>
      <w:r>
        <w:rPr>
          <w:rFonts w:ascii="ＭＳ 明朝" w:hAnsi="ＭＳ 明朝" w:cs="MS-Gothic"/>
          <w:szCs w:val="21"/>
        </w:rPr>
        <w:t>（補償の方法）</w:t>
      </w:r>
    </w:p>
    <w:p w:rsidR="00000000" w:rsidRDefault="00772F28">
      <w:pPr>
        <w:autoSpaceDE w:val="0"/>
        <w:ind w:left="210" w:hanging="210"/>
        <w:jc w:val="left"/>
      </w:pPr>
      <w:r>
        <w:rPr>
          <w:rFonts w:ascii="ＭＳ 明朝" w:hAnsi="ＭＳ 明朝" w:cs="MS-Gothic"/>
          <w:szCs w:val="21"/>
        </w:rPr>
        <w:t xml:space="preserve">第７条　</w:t>
      </w:r>
      <w:r>
        <w:rPr>
          <w:rFonts w:ascii="ＭＳ 明朝" w:hAnsi="ＭＳ 明朝" w:cs="MS-Mincho"/>
          <w:szCs w:val="21"/>
        </w:rPr>
        <w:t>損害の補償は、原</w:t>
      </w:r>
      <w:r>
        <w:rPr>
          <w:rFonts w:ascii="ＭＳ 明朝" w:hAnsi="ＭＳ 明朝" w:cs="MS-Mincho"/>
          <w:szCs w:val="21"/>
        </w:rPr>
        <w:t>則として金銭をもって行うものとする。ただし、この方法によることができないときは、復旧工事又は代替物をもって行うことができる。</w:t>
      </w:r>
    </w:p>
    <w:p w:rsidR="00000000" w:rsidRDefault="00772F28">
      <w:pPr>
        <w:autoSpaceDE w:val="0"/>
        <w:ind w:firstLine="210"/>
        <w:jc w:val="left"/>
      </w:pPr>
      <w:r>
        <w:rPr>
          <w:rFonts w:ascii="ＭＳ 明朝" w:hAnsi="ＭＳ 明朝" w:cs="MS-Gothic"/>
          <w:szCs w:val="21"/>
        </w:rPr>
        <w:lastRenderedPageBreak/>
        <w:t>（補償の期限）</w:t>
      </w:r>
    </w:p>
    <w:p w:rsidR="00000000" w:rsidRDefault="00772F28">
      <w:pPr>
        <w:autoSpaceDE w:val="0"/>
        <w:ind w:left="210" w:hanging="210"/>
        <w:jc w:val="left"/>
      </w:pPr>
      <w:r>
        <w:rPr>
          <w:rFonts w:ascii="ＭＳ 明朝" w:hAnsi="ＭＳ 明朝" w:cs="MS-Gothic"/>
          <w:szCs w:val="21"/>
        </w:rPr>
        <w:t xml:space="preserve">第８条　</w:t>
      </w:r>
      <w:r>
        <w:rPr>
          <w:rFonts w:ascii="ＭＳ 明朝" w:hAnsi="ＭＳ 明朝" w:cs="MS-Mincho"/>
          <w:szCs w:val="21"/>
        </w:rPr>
        <w:t>この協定に基づく受注者負担の補償期限は、工事完了検査後３年間とする。ただし、その損害が、受注者の責に帰すべき事由によって生じたものであることが明らかな場合は、この限りでない。</w:t>
      </w:r>
    </w:p>
    <w:p w:rsidR="00000000" w:rsidRDefault="00772F28">
      <w:pPr>
        <w:autoSpaceDE w:val="0"/>
        <w:ind w:firstLine="210"/>
        <w:jc w:val="left"/>
      </w:pPr>
      <w:r>
        <w:rPr>
          <w:rFonts w:ascii="ＭＳ 明朝" w:hAnsi="ＭＳ 明朝" w:cs="MS-Gothic"/>
          <w:szCs w:val="21"/>
        </w:rPr>
        <w:t>（補償費用の負担）</w:t>
      </w:r>
    </w:p>
    <w:p w:rsidR="00000000" w:rsidRDefault="00772F28">
      <w:pPr>
        <w:autoSpaceDE w:val="0"/>
        <w:ind w:left="210" w:hanging="210"/>
        <w:jc w:val="left"/>
      </w:pPr>
      <w:r>
        <w:rPr>
          <w:rFonts w:ascii="ＭＳ 明朝" w:hAnsi="ＭＳ 明朝" w:cs="MS-Gothic"/>
          <w:szCs w:val="21"/>
        </w:rPr>
        <w:t xml:space="preserve">第９条　</w:t>
      </w:r>
      <w:r>
        <w:rPr>
          <w:rFonts w:ascii="ＭＳ 明朝" w:hAnsi="ＭＳ 明朝" w:cs="MS-Mincho"/>
          <w:szCs w:val="21"/>
        </w:rPr>
        <w:t>この協定に基づく補償に要する費用（以下「補償費」といい、第３条に基づく応急措置及び第４条に基づく事後調査に要する費用を含む。）の総額が、工事請負代金額の１．０</w:t>
      </w:r>
      <w:r>
        <w:rPr>
          <w:rFonts w:ascii="ＭＳ 明朝" w:hAnsi="ＭＳ 明朝" w:cs="MS-Mincho"/>
          <w:szCs w:val="21"/>
        </w:rPr>
        <w:t>パーセントに相当する金額（以下「控除額」という。）以下のときは、受注者が補償費の総額を負担するものとする。</w:t>
      </w:r>
    </w:p>
    <w:p w:rsidR="00000000" w:rsidRDefault="00772F28">
      <w:pPr>
        <w:autoSpaceDE w:val="0"/>
        <w:ind w:left="210" w:hanging="210"/>
        <w:jc w:val="left"/>
      </w:pPr>
      <w:r>
        <w:rPr>
          <w:rFonts w:ascii="ＭＳ 明朝" w:hAnsi="ＭＳ 明朝" w:cs="MS-Mincho"/>
          <w:szCs w:val="21"/>
        </w:rPr>
        <w:t>２　補償費の総額が控除額を超えるときは、受注者が控除額を負担し、その残額（補償費の総額から控除額を減じた額をいう。）については、発注者及び受注者が協議の上、負担割合を定めるものとする。ただし、その損害が受注者の責に帰すべき事由によって生じたものについては、受注者が補償費の総額を負担する。</w:t>
      </w:r>
    </w:p>
    <w:p w:rsidR="00000000" w:rsidRDefault="00772F28">
      <w:pPr>
        <w:autoSpaceDE w:val="0"/>
        <w:ind w:firstLine="210"/>
        <w:jc w:val="left"/>
      </w:pPr>
      <w:r>
        <w:rPr>
          <w:rFonts w:ascii="ＭＳ 明朝" w:hAnsi="ＭＳ 明朝" w:cs="MS-Gothic"/>
          <w:szCs w:val="21"/>
        </w:rPr>
        <w:t>（協定の履行）</w:t>
      </w:r>
    </w:p>
    <w:p w:rsidR="00000000" w:rsidRDefault="00772F28">
      <w:pPr>
        <w:autoSpaceDE w:val="0"/>
        <w:jc w:val="left"/>
      </w:pPr>
      <w:r>
        <w:rPr>
          <w:rFonts w:ascii="ＭＳ 明朝" w:hAnsi="ＭＳ 明朝" w:cs="MS-Gothic"/>
          <w:szCs w:val="21"/>
        </w:rPr>
        <w:t xml:space="preserve">第１０条　</w:t>
      </w:r>
      <w:r>
        <w:rPr>
          <w:rFonts w:ascii="ＭＳ 明朝" w:hAnsi="ＭＳ 明朝" w:cs="MS-Mincho"/>
          <w:szCs w:val="21"/>
        </w:rPr>
        <w:t>発注者及び受注者は、信義を重んじ誠実にこの協定の履行に努めなければならない。</w:t>
      </w:r>
    </w:p>
    <w:p w:rsidR="00000000" w:rsidRDefault="00772F28">
      <w:pPr>
        <w:autoSpaceDE w:val="0"/>
        <w:ind w:firstLine="210"/>
        <w:jc w:val="left"/>
      </w:pPr>
      <w:r>
        <w:rPr>
          <w:rFonts w:ascii="ＭＳ 明朝" w:hAnsi="ＭＳ 明朝" w:cs="MS-Gothic"/>
          <w:szCs w:val="21"/>
        </w:rPr>
        <w:t>（その他）</w:t>
      </w:r>
    </w:p>
    <w:p w:rsidR="00000000" w:rsidRDefault="00772F28">
      <w:pPr>
        <w:autoSpaceDE w:val="0"/>
        <w:ind w:left="210" w:hanging="210"/>
        <w:jc w:val="left"/>
      </w:pPr>
      <w:r>
        <w:rPr>
          <w:rFonts w:ascii="ＭＳ 明朝" w:hAnsi="ＭＳ 明朝" w:cs="MS-Gothic"/>
          <w:szCs w:val="21"/>
        </w:rPr>
        <w:t xml:space="preserve">第１１条　</w:t>
      </w:r>
      <w:r>
        <w:rPr>
          <w:rFonts w:ascii="ＭＳ 明朝" w:hAnsi="ＭＳ 明朝" w:cs="MS-Mincho"/>
          <w:szCs w:val="21"/>
        </w:rPr>
        <w:t>この協定書に定めのない事項、又はこの協定に関し疑義が生じた場合については、発注者受注者協議して定めるものとする。</w:t>
      </w:r>
    </w:p>
    <w:p w:rsidR="00000000" w:rsidRDefault="00772F28">
      <w:pPr>
        <w:autoSpaceDE w:val="0"/>
        <w:ind w:left="210" w:hanging="210"/>
        <w:jc w:val="left"/>
        <w:rPr>
          <w:rFonts w:ascii="ＭＳ 明朝" w:hAnsi="ＭＳ 明朝" w:cs="ＭＳ 明朝"/>
          <w:szCs w:val="21"/>
        </w:rPr>
      </w:pPr>
    </w:p>
    <w:p w:rsidR="00000000" w:rsidRDefault="00772F28">
      <w:pPr>
        <w:autoSpaceDE w:val="0"/>
        <w:ind w:firstLine="210"/>
        <w:jc w:val="left"/>
      </w:pPr>
      <w:r>
        <w:rPr>
          <w:rFonts w:ascii="ＭＳ 明朝" w:hAnsi="ＭＳ 明朝" w:cs="MS-Mincho"/>
          <w:szCs w:val="21"/>
        </w:rPr>
        <w:t>この協定締結の証として本書２通を作成し、当事者記名押印の上、各自１通を保有する。</w:t>
      </w:r>
    </w:p>
    <w:p w:rsidR="00000000" w:rsidRDefault="00772F28">
      <w:pPr>
        <w:autoSpaceDE w:val="0"/>
        <w:jc w:val="left"/>
        <w:rPr>
          <w:rFonts w:ascii="ＭＳ 明朝" w:hAnsi="ＭＳ 明朝" w:cs="ＭＳ 明朝"/>
          <w:szCs w:val="21"/>
        </w:rPr>
      </w:pPr>
    </w:p>
    <w:p w:rsidR="00000000" w:rsidRDefault="00772F28">
      <w:pPr>
        <w:autoSpaceDE w:val="0"/>
        <w:ind w:firstLine="630"/>
        <w:jc w:val="left"/>
      </w:pPr>
      <w:r>
        <w:rPr>
          <w:rFonts w:ascii="ＭＳ 明朝" w:hAnsi="ＭＳ 明朝" w:cs="MS-Mincho"/>
          <w:szCs w:val="21"/>
        </w:rPr>
        <w:t xml:space="preserve">　　年　　月　　日</w:t>
      </w:r>
    </w:p>
    <w:p w:rsidR="00000000" w:rsidRDefault="00772F28">
      <w:pPr>
        <w:autoSpaceDE w:val="0"/>
        <w:jc w:val="left"/>
        <w:rPr>
          <w:rFonts w:ascii="ＭＳ 明朝" w:hAnsi="ＭＳ 明朝" w:cs="ＭＳ 明朝"/>
          <w:szCs w:val="21"/>
        </w:rPr>
      </w:pPr>
    </w:p>
    <w:p w:rsidR="00000000" w:rsidRDefault="00772F28">
      <w:pPr>
        <w:autoSpaceDE w:val="0"/>
        <w:ind w:firstLine="4410"/>
        <w:jc w:val="left"/>
      </w:pPr>
      <w:r>
        <w:rPr>
          <w:rFonts w:ascii="ＭＳ 明朝" w:hAnsi="ＭＳ 明朝" w:cs="MS-Mincho"/>
          <w:szCs w:val="21"/>
        </w:rPr>
        <w:t>発注者　岡山県赤磐市下市３４４</w:t>
      </w:r>
    </w:p>
    <w:p w:rsidR="00000000" w:rsidRDefault="00772F28">
      <w:pPr>
        <w:autoSpaceDE w:val="0"/>
        <w:ind w:firstLine="5250"/>
        <w:jc w:val="left"/>
      </w:pPr>
      <w:r>
        <w:rPr>
          <w:rFonts w:ascii="ＭＳ 明朝" w:hAnsi="ＭＳ 明朝" w:cs="MS-Mincho"/>
          <w:szCs w:val="21"/>
        </w:rPr>
        <w:t>赤磐市</w:t>
      </w:r>
    </w:p>
    <w:p w:rsidR="00000000" w:rsidRDefault="00772F28">
      <w:pPr>
        <w:autoSpaceDE w:val="0"/>
        <w:ind w:firstLine="5250"/>
        <w:jc w:val="left"/>
      </w:pPr>
      <w:r>
        <w:rPr>
          <w:rFonts w:ascii="ＭＳ 明朝" w:hAnsi="ＭＳ 明朝" w:cs="MS-Mincho"/>
          <w:szCs w:val="21"/>
        </w:rPr>
        <w:t>赤磐市長</w:t>
      </w:r>
      <w:r>
        <w:rPr>
          <w:rFonts w:ascii="ＭＳ 明朝" w:hAnsi="ＭＳ 明朝" w:cs="MS-Mincho"/>
          <w:szCs w:val="21"/>
        </w:rPr>
        <w:t xml:space="preserve"> </w:t>
      </w:r>
      <w:r>
        <w:rPr>
          <w:rFonts w:ascii="ＭＳ 明朝" w:hAnsi="ＭＳ 明朝" w:cs="MS-Mincho"/>
          <w:szCs w:val="21"/>
        </w:rPr>
        <w:t xml:space="preserve">　　　　　　　　　　</w:t>
      </w:r>
      <w:r>
        <w:rPr>
          <w:rFonts w:ascii="ＭＳ 明朝" w:hAnsi="ＭＳ 明朝" w:cs="MS-Mincho"/>
          <w:szCs w:val="21"/>
          <w:bdr w:val="single" w:sz="4" w:space="0" w:color="000000"/>
        </w:rPr>
        <w:t>印</w:t>
      </w:r>
    </w:p>
    <w:p w:rsidR="00000000" w:rsidRDefault="00772F28">
      <w:pPr>
        <w:autoSpaceDE w:val="0"/>
        <w:ind w:firstLine="5040"/>
        <w:jc w:val="left"/>
        <w:rPr>
          <w:rFonts w:ascii="ＭＳ 明朝" w:hAnsi="ＭＳ 明朝" w:cs="ＭＳ 明朝"/>
          <w:szCs w:val="21"/>
        </w:rPr>
      </w:pPr>
    </w:p>
    <w:p w:rsidR="00000000" w:rsidRDefault="00772F28">
      <w:pPr>
        <w:autoSpaceDE w:val="0"/>
        <w:ind w:firstLine="4410"/>
        <w:jc w:val="left"/>
      </w:pPr>
      <w:r>
        <w:rPr>
          <w:rFonts w:ascii="ＭＳ 明朝" w:hAnsi="ＭＳ 明朝" w:cs="MS-Mincho"/>
          <w:szCs w:val="21"/>
        </w:rPr>
        <w:t>受注者　住　所</w:t>
      </w:r>
    </w:p>
    <w:p w:rsidR="00000000" w:rsidRDefault="00772F28">
      <w:pPr>
        <w:autoSpaceDE w:val="0"/>
        <w:ind w:firstLine="4410"/>
        <w:jc w:val="left"/>
        <w:rPr>
          <w:rFonts w:ascii="ＭＳ 明朝" w:hAnsi="ＭＳ 明朝" w:cs="ＭＳ 明朝"/>
          <w:szCs w:val="21"/>
        </w:rPr>
      </w:pPr>
    </w:p>
    <w:p w:rsidR="00000000" w:rsidRDefault="00772F28">
      <w:pPr>
        <w:ind w:firstLine="4200"/>
        <w:jc w:val="left"/>
      </w:pPr>
      <w:r>
        <w:rPr>
          <w:rFonts w:ascii="ＭＳ 明朝" w:hAnsi="ＭＳ 明朝" w:cs="MS-Mincho"/>
          <w:szCs w:val="21"/>
        </w:rPr>
        <w:t xml:space="preserve">　　　　　氏　名</w:t>
      </w:r>
      <w:r>
        <w:rPr>
          <w:rFonts w:ascii="ＭＳ 明朝" w:hAnsi="ＭＳ 明朝" w:cs="MS-Mincho"/>
          <w:szCs w:val="21"/>
        </w:rPr>
        <w:t xml:space="preserve"> </w:t>
      </w:r>
      <w:r>
        <w:rPr>
          <w:rFonts w:ascii="ＭＳ 明朝" w:hAnsi="ＭＳ 明朝" w:cs="MS-Mincho"/>
          <w:szCs w:val="21"/>
        </w:rPr>
        <w:t xml:space="preserve">　　　　　　　　　　　</w:t>
      </w:r>
      <w:r>
        <w:rPr>
          <w:rFonts w:ascii="ＭＳ 明朝" w:hAnsi="ＭＳ 明朝" w:cs="MS-Mincho"/>
          <w:szCs w:val="21"/>
          <w:bdr w:val="single" w:sz="4" w:space="0" w:color="000000"/>
        </w:rPr>
        <w:t>印</w:t>
      </w:r>
    </w:p>
    <w:p w:rsidR="00000000" w:rsidRDefault="00772F28">
      <w:pPr>
        <w:widowControl/>
        <w:jc w:val="left"/>
      </w:pPr>
    </w:p>
    <w:sectPr w:rsidR="00000000">
      <w:footerReference w:type="default" r:id="rId6"/>
      <w:footerReference w:type="first" r:id="rId7"/>
      <w:pgSz w:w="11906" w:h="16838"/>
      <w:pgMar w:top="1418" w:right="1418" w:bottom="1418" w:left="1418"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2F28">
      <w:r>
        <w:separator/>
      </w:r>
    </w:p>
  </w:endnote>
  <w:endnote w:type="continuationSeparator" w:id="0">
    <w:p w:rsidR="00000000" w:rsidRDefault="0077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Arial Unicode MS"/>
    <w:charset w:val="01"/>
    <w:family w:val="auto"/>
    <w:pitch w:val="default"/>
  </w:font>
  <w:font w:name="Liberation Sans">
    <w:altName w:val="Arial"/>
    <w:charset w:val="01"/>
    <w:family w:val="swiss"/>
    <w:pitch w:val="variable"/>
  </w:font>
  <w:font w:name="DejaVu Sans">
    <w:charset w:val="01"/>
    <w:family w:val="auto"/>
    <w:pitch w:val="variable"/>
  </w:font>
  <w:font w:name="TakaoPGothic">
    <w:charset w:val="01"/>
    <w:family w:val="auto"/>
    <w:pitch w:val="variable"/>
  </w:font>
  <w:font w:name="MS-Gothic">
    <w:altName w:val="Arial Unicode MS"/>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2F28">
    <w:pPr>
      <w:pStyle w:val="ae"/>
      <w:jc w:val="center"/>
    </w:pPr>
  </w:p>
  <w:p w:rsidR="00000000" w:rsidRDefault="00772F2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72F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2F28">
      <w:r>
        <w:separator/>
      </w:r>
    </w:p>
  </w:footnote>
  <w:footnote w:type="continuationSeparator" w:id="0">
    <w:p w:rsidR="00000000" w:rsidRDefault="00772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F2"/>
    <w:rsid w:val="003932F2"/>
    <w:rsid w:val="00772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3CB941DE"/>
  <w15:chartTrackingRefBased/>
  <w15:docId w15:val="{6F2E1856-BDAB-411C-99BC-FF1B28E7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character" w:customStyle="1" w:styleId="a5">
    <w:name w:val="記 (文字)"/>
    <w:rPr>
      <w:rFonts w:ascii="ＭＳ 明朝" w:hAnsi="ＭＳ 明朝" w:cs="MS-Mincho"/>
      <w:kern w:val="1"/>
      <w:szCs w:val="21"/>
    </w:rPr>
  </w:style>
  <w:style w:type="character" w:customStyle="1" w:styleId="a6">
    <w:name w:val="結語 (文字)"/>
    <w:rPr>
      <w:rFonts w:ascii="ＭＳ 明朝" w:hAnsi="ＭＳ 明朝" w:cs="MS-Mincho"/>
      <w:kern w:val="1"/>
      <w:szCs w:val="21"/>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a">
    <w:name w:val="見出し"/>
    <w:basedOn w:val="a"/>
    <w:next w:val="a7"/>
    <w:pPr>
      <w:keepNext/>
      <w:spacing w:before="240" w:after="120"/>
    </w:pPr>
    <w:rPr>
      <w:rFonts w:ascii="Liberation Sans" w:eastAsia="TakaoPGothic" w:hAnsi="Liberation Sans" w:cs="TakaoPGothic"/>
      <w:sz w:val="28"/>
      <w:szCs w:val="28"/>
    </w:rPr>
  </w:style>
  <w:style w:type="paragraph" w:customStyle="1" w:styleId="ab">
    <w:name w:val="キャプション"/>
    <w:basedOn w:val="a"/>
    <w:pPr>
      <w:suppressLineNumbers/>
      <w:spacing w:before="120" w:after="120"/>
    </w:pPr>
    <w:rPr>
      <w:i/>
      <w:iCs/>
      <w:sz w:val="24"/>
      <w:szCs w:val="24"/>
    </w:rPr>
  </w:style>
  <w:style w:type="paragraph" w:customStyle="1" w:styleId="ac">
    <w:name w:val="索引"/>
    <w:basedOn w:val="a"/>
    <w:pPr>
      <w:suppressLineNumbers/>
    </w:pPr>
  </w:style>
  <w:style w:type="paragraph" w:styleId="ad">
    <w:name w:val="header"/>
    <w:basedOn w:val="a"/>
    <w:pPr>
      <w:snapToGrid w:val="0"/>
    </w:pPr>
  </w:style>
  <w:style w:type="paragraph" w:styleId="ae">
    <w:name w:val="footer"/>
    <w:basedOn w:val="a"/>
    <w:pPr>
      <w:snapToGrid w:val="0"/>
    </w:pPr>
  </w:style>
  <w:style w:type="paragraph" w:styleId="af">
    <w:name w:val="List Paragraph"/>
    <w:basedOn w:val="a"/>
    <w:qFormat/>
    <w:pPr>
      <w:ind w:left="840"/>
    </w:pPr>
  </w:style>
  <w:style w:type="paragraph" w:customStyle="1" w:styleId="10">
    <w:name w:val="記1"/>
    <w:basedOn w:val="a"/>
    <w:next w:val="a"/>
    <w:pPr>
      <w:jc w:val="center"/>
    </w:pPr>
    <w:rPr>
      <w:rFonts w:ascii="ＭＳ 明朝" w:hAnsi="ＭＳ 明朝" w:cs="MS-Mincho"/>
      <w:szCs w:val="21"/>
    </w:rPr>
  </w:style>
  <w:style w:type="paragraph" w:customStyle="1" w:styleId="11">
    <w:name w:val="結語1"/>
    <w:basedOn w:val="a"/>
    <w:pPr>
      <w:jc w:val="right"/>
    </w:pPr>
    <w:rPr>
      <w:rFonts w:ascii="ＭＳ 明朝" w:hAnsi="ＭＳ 明朝" w:cs="MS-Minch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ホームページ管理</dc:creator>
  <cp:keywords/>
  <dc:description/>
  <cp:lastModifiedBy>白髭　芳郎</cp:lastModifiedBy>
  <cp:revision>3</cp:revision>
  <cp:lastPrinted>1995-11-21T08:41:00Z</cp:lastPrinted>
  <dcterms:created xsi:type="dcterms:W3CDTF">2021-05-20T01:49:00Z</dcterms:created>
  <dcterms:modified xsi:type="dcterms:W3CDTF">2021-05-20T01:49:00Z</dcterms:modified>
</cp:coreProperties>
</file>